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w:t>
      </w:r>
    </w:p>
    <w:p>
      <w:r>
        <w:rPr>
          <w:b/>
        </w:rPr>
        <w:t>Executive summary</w:t>
      </w:r>
    </w:p>
    <w:p>
      <w:r>
        <w:t>The Columbus City Council met on May 19, 2026, and approved a wide range of legislation including a resolution to advance the NWSL training facility while removing contested parcels to allow more community input on park replacements. Council codified a complete streets policy into city code, authorized funding for a memorial for children lost to violence, and renewed Police Chief Elaine Bryant's contract with enhanced benefits. Significant capital investments were made in water infrastructure, lead service line replacement, and homelessness services. A rezoning and variances for 26 townhomes on Tanger River Road were approved over neighborhood opposition regarding density and tree preservation.</w:t>
      </w:r>
    </w:p>
    <w:p>
      <w:pPr>
        <w:pStyle w:val="Heading1"/>
      </w:pPr>
      <w:r>
        <w:t>Agenda items</w:t>
      </w:r>
    </w:p>
    <w:p>
      <w:pPr>
        <w:pStyle w:val="ListBullet"/>
      </w:pPr>
      <w:r>
        <w:t>NWSL Training Facility and McCoy Park Community Benefits</w:t>
      </w:r>
    </w:p>
    <w:p>
      <w:r>
        <w:t>Council considered resolution 0121X-2026 to schedule a public hearing for adding parcels to the Confluence Community Authority District for the NWSL training facility, and ordinance 1407-2026 to modify a contract for park improvements. The administration amended the resolution to remove the Yonan family parcels from the CCA addition, allowing more time for community discussions on recreation investments. — Action: Resolution 0121X-2026 was amended and adopted. Ordinance 1407-2026 was adopted.; Vote: Resolution 0121X-2026: amendment passed 7-0-1 (White abstained); adoption as amended passed 7-1 (White no). Ordinance 1407-2026 passed unanimously.</w:t>
      </w:r>
    </w:p>
    <w:p>
      <w:pPr>
        <w:pStyle w:val="ListBullet"/>
      </w:pPr>
      <w:r>
        <w:t>Complete Streets Policy Codification</w:t>
      </w:r>
    </w:p>
    <w:p>
      <w:r>
        <w:t>Ordinance 1392-2026 codifies a complete streets policy into city code, requiring the Department of Public Service to adopt and annually evaluate guidelines prioritizing safety for all users. The policy supports Vision Zero goals. — Action: Ordinance adopted.; Vote: Unanimous.</w:t>
      </w:r>
    </w:p>
    <w:p>
      <w:pPr>
        <w:pStyle w:val="ListBullet"/>
      </w:pPr>
      <w:r>
        <w:t>Mothers of Murdered Columbus Children Art Memorial</w:t>
      </w:r>
    </w:p>
    <w:p>
      <w:r>
        <w:t>Ordinance 1056-2026 authorized a transfer of funds and a contribution agreement with the Greater Columbus Arts Council to support a public art memorial along the Scioto River, honoring children lost to violence. — Action: Ordinance adopted.; Vote: Unanimous.</w:t>
      </w:r>
    </w:p>
    <w:p>
      <w:pPr>
        <w:pStyle w:val="ListBullet"/>
      </w:pPr>
      <w:r>
        <w:t>Police Chief Contract Renewal</w:t>
      </w:r>
    </w:p>
    <w:p>
      <w:r>
        <w:t>Ordinance 1162-2026 amended the police management compensation plan to reflect a new five-year contract for Police Chief Elaine Bryant, including a mutual separation clause, increased life insurance, and sick leave reciprocity. — Action: Ordinance adopted.; Vote: Unanimous.</w:t>
      </w:r>
    </w:p>
    <w:p>
      <w:pPr>
        <w:pStyle w:val="ListBullet"/>
      </w:pPr>
      <w:r>
        <w:t>Rezoning and Variance for 26 Townhomes at 708/709 Tanger River Road</w:t>
      </w:r>
    </w:p>
    <w:p>
      <w:r>
        <w:t>Council approved a rezoning from AR-12 to AR-12 with updated development text for 26 fee-simple townhomes, and granted four variances (private streets, reduced row minimum, front setback, side yard) over neighborhood opposition regarding tree loss and density. — Action: Rezoning and variances adopted.; Vote: Rezoning: 7-1 (White no). Variances: 7-1 (White no).</w:t>
      </w:r>
    </w:p>
    <w:p>
      <w:pPr>
        <w:pStyle w:val="Heading1"/>
      </w:pPr>
      <w:r>
        <w:t>Budget highlights</w:t>
      </w:r>
    </w:p>
    <w:p>
      <w:pPr>
        <w:pStyle w:val="ListBullet"/>
      </w:pPr>
      <w:r>
        <w:t>Ordinance 1163-2026: $1,375,567.20 for construction inspection deficits on public service projects.</w:t>
      </w:r>
    </w:p>
    <w:p>
      <w:pPr>
        <w:pStyle w:val="ListBullet"/>
      </w:pPr>
      <w:r>
        <w:t>Ordinance 1373-2026: $1,332,087 reproductive health grant from Ohio Department of Health.</w:t>
      </w:r>
    </w:p>
    <w:p>
      <w:pPr>
        <w:pStyle w:val="ListBullet"/>
      </w:pPr>
      <w:r>
        <w:t>Ordinance 1213-2026: $1 million capital contribution to Star House for youth homeless shelter renovations.</w:t>
      </w:r>
    </w:p>
    <w:p>
      <w:pPr>
        <w:pStyle w:val="ListBullet"/>
      </w:pPr>
      <w:r>
        <w:t>Ordinance 1465-2026: $13.75 million grant to Community Shelter Board for homelessness services.</w:t>
      </w:r>
    </w:p>
    <w:p>
      <w:pPr>
        <w:pStyle w:val="ListBullet"/>
      </w:pPr>
      <w:r>
        <w:t>Ordinance 882-2026: $33,855,400 for Parsons Avenue Wellfield Development Project.</w:t>
      </w:r>
    </w:p>
    <w:p>
      <w:pPr>
        <w:pStyle w:val="ListBullet"/>
      </w:pPr>
      <w:r>
        <w:t>Ordinance 1215-2026: $10,756,912 for lead service line replacements in Greater Hilltop.</w:t>
      </w:r>
    </w:p>
    <w:p>
      <w:pPr>
        <w:pStyle w:val="ListBullet"/>
      </w:pPr>
      <w:r>
        <w:t>Ordinance 1206-2026: $12 million for residuals removal at Parsons Avenue water plant.</w:t>
      </w:r>
    </w:p>
    <w:p>
      <w:pPr>
        <w:pStyle w:val="Heading1"/>
      </w:pPr>
      <w:r>
        <w:t>Action items</w:t>
      </w:r>
    </w:p>
    <w:p>
      <w:pPr>
        <w:pStyle w:val="ListBullet"/>
      </w:pPr>
      <w:r>
        <w:t>Administration to continue working group on McCoy Park recreation investments and report back within 42 days.</w:t>
      </w:r>
    </w:p>
    <w:p>
      <w:pPr>
        <w:pStyle w:val="ListBullet"/>
      </w:pPr>
      <w:r>
        <w:t>Department of Public Service to adopt complete streets policy and report annually to council.</w:t>
      </w:r>
    </w:p>
    <w:p>
      <w:pPr>
        <w:pStyle w:val="ListBullet"/>
      </w:pPr>
      <w:r>
        <w:t>City Attorney's Office to extend contracts for Project Taillight vehicle repair program.</w:t>
      </w:r>
    </w:p>
    <w:p>
      <w:pPr>
        <w:pStyle w:val="ListBullet"/>
      </w:pPr>
      <w:r>
        <w:t>Department of Development to finalize grant agreements with Star House and Community Shelter Board.</w:t>
      </w:r>
    </w:p>
    <w:p>
      <w:pPr>
        <w:pStyle w:val="Heading1"/>
      </w:pPr>
      <w:r>
        <w:t>Public concerns</w:t>
      </w:r>
    </w:p>
    <w:p>
      <w:pPr>
        <w:pStyle w:val="ListBullet"/>
      </w:pPr>
      <w:r>
        <w:t>Frustration over the NWSL training facility process and loss of McCoy Park green space.</w:t>
      </w:r>
    </w:p>
    <w:p>
      <w:pPr>
        <w:pStyle w:val="ListBullet"/>
      </w:pPr>
      <w:r>
        <w:t>Desire for timely and transparent community engagement on park replacements.</w:t>
      </w:r>
    </w:p>
    <w:p>
      <w:pPr>
        <w:pStyle w:val="ListBullet"/>
      </w:pPr>
      <w:r>
        <w:t>Concerns about density, tree preservation, and stormwater impacts from the Tanger River Road townhome development.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