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Columbus City Council Meeting (4/20/26)</w:t>
      </w:r>
    </w:p>
    <w:p>
      <w:r>
        <w:rPr>
          <w:b/>
        </w:rPr>
        <w:t>Executive summary</w:t>
      </w:r>
    </w:p>
    <w:p>
      <w:r>
        <w:t>The Columbus City Council meeting on April 20, 2026, was dominated by two major items: the passage of a residential rental registry ordinance and a contentious vote on a deal to bring a National Women's Soccer League team to the city, which involved repurposing a planned adaptive recreation park. The rental registry passed 8-1 after months of community engagement, with a $15 per unit fee and triennial inspections. The NWSL stadium deal passed 6-3 after amendments secured a $3 million private contribution for a replacement park and established a working group with timelines. Council members expressed deep frustration with the administration's lack of transparency in negotiating the stadium deal. Additionally, the council approved two legal settlements totaling $786,000 and began the process to fill the city auditor vacancy following Megan Kilgore's announced departure.</w:t>
      </w:r>
    </w:p>
    <w:p>
      <w:pPr>
        <w:pStyle w:val="Heading1"/>
      </w:pPr>
      <w:r>
        <w:t>Agenda items</w:t>
      </w:r>
    </w:p>
    <w:p>
      <w:pPr>
        <w:pStyle w:val="ListBullet"/>
      </w:pPr>
      <w:r>
        <w:t>Rental Registry Ordinance</w:t>
      </w:r>
    </w:p>
    <w:p>
      <w:r>
        <w:t>Ordinance 0923-2026 to create a residential rental property registry requiring annual registration, a $15 per unit fee (capped at $1,500 per property), and triennial preventative education inspections of exteriors and common areas. Properties with repeated code violations get conditional registration status triggering mandatory inspections and penalties. — Action: Passed 8-1 (Council Member Remy voted no).; Vote: 8-1</w:t>
      </w:r>
    </w:p>
    <w:p>
      <w:pPr>
        <w:pStyle w:val="ListBullet"/>
      </w:pPr>
      <w:r>
        <w:t>NWSL Stadium and McCoy Park Deal</w:t>
      </w:r>
    </w:p>
    <w:p>
      <w:r>
        <w:t>Ordinance 1112-2026 authorizing a contribution agreement for the Gravity Project Phase 3, including $2 million in public funds for parking, infrastructure, and affordable housing, and a separate agreement to use McCoy Park site for a women's soccer stadium. An amendment added a working group, timelines, and a $3 million private contribution for a replacement park. — Action: Passed 6-3 (Council Members Deakau, Dorans, Green voted no).; Vote: 6-3</w:t>
      </w:r>
    </w:p>
    <w:p>
      <w:pPr>
        <w:pStyle w:val="ListBullet"/>
      </w:pPr>
      <w:r>
        <w:t>Legal Settlement - Brook Wilson</w:t>
      </w:r>
    </w:p>
    <w:p>
      <w:r>
        <w:t>Ordinance 0987-2026 to settle a lawsuit by former police sergeant Brook Wilson for $750,000. Wilson alleged discrimination after being demoted for using a racial slur; the city faced risk of a $3 million judgment if the case went to trial. — Action: Passed 8-1 (Council Member Rosa de Padilla voted no).; Vote: 8-1</w:t>
      </w:r>
    </w:p>
    <w:p>
      <w:pPr>
        <w:pStyle w:val="ListBullet"/>
      </w:pPr>
      <w:r>
        <w:t>Legal Settlement - Hana O. Hassan</w:t>
      </w:r>
    </w:p>
    <w:p>
      <w:r>
        <w:t>Ordinance 1043-2026 to settle a pre-lawsuit Ohio Civil Rights Commission claim for $36,000. The complainant alleged retaliation after complaining about a polygrapher's conduct during a pre-employment test. — Action: Passed unanimously.; Vote: Unanimous</w:t>
      </w:r>
    </w:p>
    <w:p>
      <w:pPr>
        <w:pStyle w:val="ListBullet"/>
      </w:pPr>
      <w:r>
        <w:t>Auditor Vacancy and Transition</w:t>
      </w:r>
    </w:p>
    <w:p>
      <w:r>
        <w:t>City Auditor Megan Kilgore announced she will step down on May 4, 2026. Council is accepting applications to fill the vacancy with a deadline of April 23 at noon. — Action: Applications being accepted; appointment process underway.; Vote: No action needed</w:t>
      </w:r>
    </w:p>
    <w:p>
      <w:pPr>
        <w:pStyle w:val="Heading1"/>
      </w:pPr>
      <w:r>
        <w:t>Budget highlights</w:t>
      </w:r>
    </w:p>
    <w:p>
      <w:pPr>
        <w:pStyle w:val="ListBullet"/>
      </w:pPr>
      <w:r>
        <w:t>$6 million budgeted for legal settlements in 2026.</w:t>
      </w:r>
    </w:p>
    <w:p>
      <w:pPr>
        <w:pStyle w:val="ListBullet"/>
      </w:pPr>
      <w:r>
        <w:t>$750,000 settlement for Brook Wilson case.</w:t>
      </w:r>
    </w:p>
    <w:p>
      <w:pPr>
        <w:pStyle w:val="ListBullet"/>
      </w:pPr>
      <w:r>
        <w:t>$36,000 settlement for Hana O. Hassan claim.</w:t>
      </w:r>
    </w:p>
    <w:p>
      <w:pPr>
        <w:pStyle w:val="ListBullet"/>
      </w:pPr>
      <w:r>
        <w:t>$2 million capital contribution for Gravity Project Phase 3.</w:t>
      </w:r>
    </w:p>
    <w:p>
      <w:pPr>
        <w:pStyle w:val="ListBullet"/>
      </w:pPr>
      <w:r>
        <w:t>$3 million private contribution from NWSL ownership group for replacement park.</w:t>
      </w:r>
    </w:p>
    <w:p>
      <w:pPr>
        <w:pStyle w:val="Heading1"/>
      </w:pPr>
      <w:r>
        <w:t>Action items</w:t>
      </w:r>
    </w:p>
    <w:p>
      <w:pPr>
        <w:pStyle w:val="ListBullet"/>
      </w:pPr>
      <w:r>
        <w:t>Council to accept applications for city auditor vacancy by April 23 at noon.</w:t>
      </w:r>
    </w:p>
    <w:p>
      <w:pPr>
        <w:pStyle w:val="ListBullet"/>
      </w:pPr>
      <w:r>
        <w:t>Working group to be formed within 15 days of NWSL team award to identify replacement park site; plan due in 60 days.</w:t>
      </w:r>
    </w:p>
    <w:p>
      <w:pPr>
        <w:pStyle w:val="ListBullet"/>
      </w:pPr>
      <w:r>
        <w:t>Department of Development and Building and Zoning to implement rental registry, including technology and staffing.</w:t>
      </w:r>
    </w:p>
    <w:p>
      <w:pPr>
        <w:pStyle w:val="ListBullet"/>
      </w:pPr>
      <w:r>
        <w:t>City Attorney's office to continue monitoring settlement budget and report to council.</w:t>
      </w:r>
    </w:p>
    <w:p>
      <w:pPr>
        <w:pStyle w:val="Heading1"/>
      </w:pPr>
      <w:r>
        <w:t>Public concerns</w:t>
      </w:r>
    </w:p>
    <w:p>
      <w:pPr>
        <w:pStyle w:val="ListBullet"/>
      </w:pPr>
      <w:r>
        <w:t>Tenant advocacy groups and Legal Aid supported rental registry as a tool to hold bad landlords accountable.</w:t>
      </w:r>
    </w:p>
    <w:p>
      <w:pPr>
        <w:pStyle w:val="ListBullet"/>
      </w:pPr>
      <w:r>
        <w:t>Southwest community residents opposed the loss of McCoy Park, an adaptive recreation park promised for years.</w:t>
      </w:r>
    </w:p>
    <w:p>
      <w:pPr>
        <w:pStyle w:val="ListBullet"/>
      </w:pPr>
      <w:r>
        <w:t>Immigrant advocates highlighted language barriers and exploitation by landlords, supporting the registry.</w:t>
      </w:r>
    </w:p>
    <w:p>
      <w:pPr>
        <w:pStyle w:val="ListBullet"/>
      </w:pPr>
      <w:r>
        <w:t>Some landlords opposed the registry as duplicative and burdensome.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