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Executive Session &amp; Regular Meeting — 2026-05-19</w:t>
      </w:r>
    </w:p>
    <w:p>
      <w:r>
        <w:rPr>
          <w:b/>
        </w:rPr>
        <w:t>Executive summary</w:t>
      </w:r>
    </w:p>
    <w:p>
      <w:r>
        <w:t>The Westerville City Council met on May 19, 2026, and faced an overflow crowd of residents opposed to the proposed sale and redevelopment of 64 East Walnut Street. The council heard nearly two hours of public comment criticizing the lack of transparency, the scale of the project (including a five-story parking garage, 247 apartments, and 81 hotel rooms), and concerns about traffic, school safety, and the character of historic uptown. In response, council unanimously voted to postpone further consideration of the sale ordinance until September 15, 2026, and directed staff to hold two additional public open houses. The council also unanimously approved several other items, including updated vehicle-for-hire regulations, energy agreements with American Municipal Power, a budget cleanup ordinance on first reading, a public-private partnership with Alta Fiber for citywide fiber internet, and bids for the Africa Road conduit project and Ohio to Erie Trail paving. Council members apologized for the rollout of the Walnut Street proposal and encouraged continued civic engagement.</w:t>
      </w:r>
    </w:p>
    <w:p>
      <w:pPr>
        <w:pStyle w:val="Heading1"/>
      </w:pPr>
      <w:r>
        <w:t>Agenda items</w:t>
      </w:r>
    </w:p>
    <w:p>
      <w:pPr>
        <w:pStyle w:val="ListBullet"/>
      </w:pPr>
      <w:r>
        <w:t>Ordinance 2026-07: Vehicle for hire regulations</w:t>
      </w:r>
    </w:p>
    <w:p>
      <w:r>
        <w:t>Amends chapters 757 to update taxi and rideshare regulations, recognizing state preemption for Uber/Lyft, allowing Columbus-licensed drivers to operate in Westerville, and reserving police powers. — Action: Third reading and adoption; Vote: Unanimous (7-0)</w:t>
      </w:r>
    </w:p>
    <w:p>
      <w:pPr>
        <w:pStyle w:val="ListBullet"/>
      </w:pPr>
      <w:r>
        <w:t>Ordinance 2026-08: Potomac Energy Center agreement</w:t>
      </w:r>
    </w:p>
    <w:p>
      <w:r>
        <w:t>Approves form and execution of a schedule with American Municipal Power for the Potomac Energy Center, part of the city's diverse power portfolio. — Action: Third reading and adoption; Vote: Unanimous (7-0)</w:t>
      </w:r>
    </w:p>
    <w:p>
      <w:pPr>
        <w:pStyle w:val="ListBullet"/>
      </w:pPr>
      <w:r>
        <w:t>Ordinance 2026-09: Bright Mountain Solar agreement</w:t>
      </w:r>
    </w:p>
    <w:p>
      <w:r>
        <w:t>Approves form and execution of a schedule with American Municipal Power for Bright Mountain Solar, another energy portfolio component. — Action: Third reading and adoption; Vote: Unanimous (7-0)</w:t>
      </w:r>
    </w:p>
    <w:p>
      <w:pPr>
        <w:pStyle w:val="ListBullet"/>
      </w:pPr>
      <w:r>
        <w:t>Ordinance 2026-10: Budget cleanup ordinance</w:t>
      </w:r>
    </w:p>
    <w:p>
      <w:r>
        <w:t>First reading of budget adjustments for 2026, including $200,000 for a hydro excavator truck, $140,000 for bulk bin storage, $23,500 for police cruiser upfitting, $375,000 for planning and development (offset by permit revenues), $150,000 for data center HVAC, $50,000 for new racks, $50,000 for tree replacement, $50,000 for city hall close-out, $64,000 for TIF fund solvency, $50,000 for community center HVAC coil, and $180,000 transfer from street maintenance to sewer fund. — Action: First reading; no vote taken; Vote: No action</w:t>
      </w:r>
    </w:p>
    <w:p>
      <w:pPr>
        <w:pStyle w:val="ListBullet"/>
      </w:pPr>
      <w:r>
        <w:t>Ordinance 2026-11: Sale of 64 East Walnut Street</w:t>
      </w:r>
    </w:p>
    <w:p>
      <w:r>
        <w:t>Authorizes the city manager to execute a real estate purchase agreement for the sale of 64 East Walnut Street to Continental Development Ventures for $2.5 million. The proposed concept includes a boutique hotel, restaurant, class A multi-family, and parking garage. Council postponed further consideration to September 15, 2026, and directed staff to hold two additional public open houses before the second reading. — Action: First reading; motion to postpone to September 15, 2026 passed; motion to direct staff to hold two additional open houses passed; Vote: Postpone: unanimous (7-0); Open houses: unanimous (7-0)</w:t>
      </w:r>
    </w:p>
    <w:p>
      <w:pPr>
        <w:pStyle w:val="ListBullet"/>
      </w:pPr>
      <w:r>
        <w:t>Motion: Alta Fiber public-private partnership</w:t>
      </w:r>
    </w:p>
    <w:p>
      <w:r>
        <w:t>Authorizes the city manager to finalize negotiations and execute a master network agreement with Alta Fiber for citywide fiber-to-the-home, dedicated fiber for utility services, and hosting Alta in the WeConnect data center. Alta will privately fund the entire capital rollout. — Action: Motion passed; Vote: Unanimous (7-0)</w:t>
      </w:r>
    </w:p>
    <w:p>
      <w:pPr>
        <w:pStyle w:val="ListBullet"/>
      </w:pPr>
      <w:r>
        <w:t>Motion: 2026 Africa Road underground conduit project</w:t>
      </w:r>
    </w:p>
    <w:p>
      <w:r>
        <w:t>Awards bid to Complete General Construction Company for $750,000 project to install two 5-inch conduits along Africa Road, enhancing redundancy for the 88-acre park and enabling future undergrounding of overhead facilities. Bids came in $150,000 under estimate. — Action: Motion passed; Vote: Unanimous (7-0)</w:t>
      </w:r>
    </w:p>
    <w:p>
      <w:pPr>
        <w:pStyle w:val="ListBullet"/>
      </w:pPr>
      <w:r>
        <w:t>Motion: Ohio to Erie Trail paving project</w:t>
      </w:r>
    </w:p>
    <w:p>
      <w:r>
        <w:t>Awards bid to Strawser Paving Company for $1.2 million project to pave sections of the Ohio to Erie Trail from Maple Book Drive north to Maxtown Road and from Electric Avenue to Old County Line Road. Fully reimbursed by federal grant. Work to start in June and finish by August. — Action: Motion passed; Vote: Unanimous (7-0)</w:t>
      </w:r>
    </w:p>
    <w:p>
      <w:pPr>
        <w:pStyle w:val="Heading1"/>
      </w:pPr>
      <w:r>
        <w:t>Budget highlights</w:t>
      </w:r>
    </w:p>
    <w:p>
      <w:pPr>
        <w:pStyle w:val="ListBullet"/>
      </w:pPr>
      <w:r>
        <w:t>Ordinance 2026-10 requests $200,000 for a hydro excavator truck, $140,000 for bulk bin storage, $23,500 for police cruiser upfitting, $375,000 for planning and development (offset by permit revenues), $150,000 for data center HVAC, $50,000 for new racks, $50,000 for tree replacement, $50,000 for city hall close-out, $64,000 for TIF fund solvency, $50,000 for community center HVAC coil, and $180,000 transfer from street maintenance to sewer fund.</w:t>
      </w:r>
    </w:p>
    <w:p>
      <w:pPr>
        <w:pStyle w:val="ListBullet"/>
      </w:pPr>
      <w:r>
        <w:t>Ohio to Erie Trail project is fully reimbursed by federal grant ($1.2 million).</w:t>
      </w:r>
    </w:p>
    <w:p>
      <w:pPr>
        <w:pStyle w:val="ListBullet"/>
      </w:pPr>
      <w:r>
        <w:t>Africa Road conduit project came in $150,000 under engineer's estimate.</w:t>
      </w:r>
    </w:p>
    <w:p>
      <w:pPr>
        <w:pStyle w:val="Heading1"/>
      </w:pPr>
      <w:r>
        <w:t>Action items</w:t>
      </w:r>
    </w:p>
    <w:p>
      <w:pPr>
        <w:pStyle w:val="ListBullet"/>
      </w:pPr>
      <w:r>
        <w:t>City staff to conduct two additional public open houses regarding 64 East Walnut before the second reading of Ordinance 2026-11.</w:t>
      </w:r>
    </w:p>
    <w:p>
      <w:pPr>
        <w:pStyle w:val="ListBullet"/>
      </w:pPr>
      <w:r>
        <w:t>City manager authorized to finalize negotiations and execute master network agreement with Alta Fiber.</w:t>
      </w:r>
    </w:p>
    <w:p>
      <w:pPr>
        <w:pStyle w:val="ListBullet"/>
      </w:pPr>
      <w:r>
        <w:t>Bid awarded to Complete General Construction for Africa Road conduit project.</w:t>
      </w:r>
    </w:p>
    <w:p>
      <w:pPr>
        <w:pStyle w:val="ListBullet"/>
      </w:pPr>
      <w:r>
        <w:t>Bid awarded to Strawser Paving for Ohio to Erie Trail paving project.</w:t>
      </w:r>
    </w:p>
    <w:p>
      <w:pPr>
        <w:pStyle w:val="Heading1"/>
      </w:pPr>
      <w:r>
        <w:t>Public concerns</w:t>
      </w:r>
    </w:p>
    <w:p>
      <w:pPr>
        <w:pStyle w:val="ListBullet"/>
      </w:pPr>
      <w:r>
        <w:t>Lack of transparency and public input in the 64 East Walnut development process.</w:t>
      </w:r>
    </w:p>
    <w:p>
      <w:pPr>
        <w:pStyle w:val="ListBullet"/>
      </w:pPr>
      <w:r>
        <w:t>Traffic congestion on State Street and Walnut Street, and potential worsening with new development.</w:t>
      </w:r>
    </w:p>
    <w:p>
      <w:pPr>
        <w:pStyle w:val="ListBullet"/>
      </w:pPr>
      <w:r>
        <w:t>Safety of children walking to schools (Whittier, Hanby, Blendon, Westerville South) near the proposed hotel and apartments.</w:t>
      </w:r>
    </w:p>
    <w:p>
      <w:pPr>
        <w:pStyle w:val="ListBullet"/>
      </w:pPr>
      <w:r>
        <w:t>Scale of development (five-story parking garage, 247 apartments, 81 hotel rooms) incompatible with historic uptown character.</w:t>
      </w:r>
    </w:p>
    <w:p>
      <w:pPr>
        <w:pStyle w:val="ListBullet"/>
      </w:pPr>
      <w:r>
        <w:t>Potential for increased crime and transient population from hotel.</w:t>
      </w:r>
    </w:p>
    <w:p>
      <w:pPr>
        <w:pStyle w:val="ListBullet"/>
      </w:pPr>
      <w:r>
        <w:t>Loss of parking for library and park visitors.</w:t>
      </w:r>
    </w:p>
    <w:p>
      <w:pPr>
        <w:pStyle w:val="ListBullet"/>
      </w:pPr>
      <w:r>
        <w:t>Environmental impacts of demolition and construction.</w:t>
      </w:r>
    </w:p>
    <w:p>
      <w:pPr>
        <w:pStyle w:val="ListBullet"/>
      </w:pPr>
      <w:r>
        <w:t>Financial incentives and tax abatements affecting school funding.</w:t>
      </w:r>
    </w:p>
    <w:p>
      <w:pPr>
        <w:pStyle w:val="ListBullet"/>
      </w:pPr>
      <w:r>
        <w:t>Desire for alternative uses such as an arts center or green space.</w:t>
      </w:r>
    </w:p>
    <w:p>
      <w:pPr>
        <w:pStyle w:val="ListBullet"/>
      </w:pPr>
      <w:r>
        <w:t>Lack of a formal RFP process for the sale of public land.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